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Договор – публичная оферта</w:t>
      </w:r>
    </w:p>
    <w:p w14:paraId="02000000">
      <w:pPr>
        <w:pStyle w:val="Style_1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на оказание услуг </w:t>
      </w:r>
    </w:p>
    <w:p w14:paraId="03000000">
      <w:pPr>
        <w:pStyle w:val="Style_2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№12</w:t>
      </w:r>
      <w:r>
        <w:rPr>
          <w:rFonts w:ascii="Times New Roman" w:hAnsi="Times New Roman"/>
          <w:color w:themeColor="text1" w:val="000000"/>
          <w:sz w:val="24"/>
        </w:rPr>
        <w:t>5</w:t>
      </w:r>
      <w:r>
        <w:rPr>
          <w:rFonts w:ascii="Times New Roman" w:hAnsi="Times New Roman"/>
          <w:color w:themeColor="text1" w:val="000000"/>
          <w:sz w:val="24"/>
        </w:rPr>
        <w:t xml:space="preserve"> от </w:t>
      </w:r>
      <w:r>
        <w:rPr>
          <w:rFonts w:ascii="Times New Roman" w:hAnsi="Times New Roman"/>
          <w:color w:themeColor="text1" w:val="000000"/>
          <w:sz w:val="24"/>
        </w:rPr>
        <w:t>22.12.2023г.</w:t>
      </w:r>
    </w:p>
    <w:p w14:paraId="04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Москва                                                                                                   </w:t>
      </w:r>
    </w:p>
    <w:p w14:paraId="05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06000000">
      <w:pPr>
        <w:pStyle w:val="Style_1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ОБЩИЕ ПОЛОЖЕНИЯ</w:t>
      </w:r>
    </w:p>
    <w:p w14:paraId="07000000">
      <w:pPr>
        <w:pStyle w:val="Style_4"/>
        <w:spacing w:before="0" w:line="240" w:lineRule="auto"/>
        <w:ind w:firstLine="567" w:left="0"/>
        <w:jc w:val="both"/>
        <w:rPr>
          <w:rFonts w:ascii="Times New Roman" w:hAnsi="Times New Roman"/>
          <w:b w:val="0"/>
          <w:color w:themeColor="text1" w:val="000000"/>
          <w:sz w:val="24"/>
        </w:rPr>
      </w:pPr>
      <w:r>
        <w:rPr>
          <w:rFonts w:ascii="Times New Roman" w:hAnsi="Times New Roman"/>
          <w:b w:val="0"/>
          <w:color w:themeColor="text1" w:val="000000"/>
          <w:sz w:val="24"/>
        </w:rPr>
        <w:t xml:space="preserve">1.1. Данный документ является публичной офертой </w:t>
      </w:r>
      <w:r>
        <w:rPr>
          <w:rFonts w:ascii="Times New Roman" w:hAnsi="Times New Roman"/>
          <w:b w:val="0"/>
          <w:color w:val="000000"/>
          <w:sz w:val="24"/>
        </w:rPr>
        <w:t xml:space="preserve">Автономной Некоммерческой Организацией Дополнительного Профессионального Образования «Московский Институт Гештальта и Психодрамы» </w:t>
      </w:r>
      <w:r>
        <w:rPr>
          <w:rFonts w:ascii="Times New Roman" w:hAnsi="Times New Roman"/>
          <w:b w:val="0"/>
          <w:color w:val="000000"/>
          <w:sz w:val="24"/>
        </w:rPr>
        <w:t xml:space="preserve">(в дальнейшем именуемого Исполнитель/Институт) и содержит все существенные условия по </w:t>
      </w:r>
      <w:r>
        <w:rPr>
          <w:rFonts w:ascii="Times New Roman" w:hAnsi="Times New Roman"/>
          <w:b w:val="0"/>
          <w:color w:themeColor="text1" w:val="000000"/>
          <w:sz w:val="24"/>
        </w:rPr>
        <w:t xml:space="preserve">оказанию услуг по участию в </w:t>
      </w:r>
      <w:r>
        <w:rPr>
          <w:rFonts w:ascii="Times New Roman" w:hAnsi="Times New Roman"/>
          <w:b w:val="0"/>
          <w:color w:themeColor="text1" w:val="000000"/>
          <w:sz w:val="24"/>
        </w:rPr>
        <w:t xml:space="preserve">Летнем </w:t>
      </w:r>
      <w:r>
        <w:rPr>
          <w:rFonts w:ascii="Times New Roman" w:hAnsi="Times New Roman"/>
          <w:b w:val="0"/>
          <w:color w:themeColor="text1" w:val="000000"/>
          <w:sz w:val="24"/>
        </w:rPr>
        <w:t>Интенсиве</w:t>
      </w:r>
      <w:r>
        <w:rPr>
          <w:rFonts w:ascii="Times New Roman" w:hAnsi="Times New Roman"/>
          <w:b w:val="0"/>
          <w:color w:themeColor="text1" w:val="000000"/>
          <w:sz w:val="24"/>
        </w:rPr>
        <w:t xml:space="preserve"> «</w:t>
      </w:r>
      <w:r>
        <w:rPr>
          <w:rFonts w:ascii="Times New Roman" w:hAnsi="Times New Roman"/>
          <w:b w:val="0"/>
          <w:color w:themeColor="text1" w:val="000000"/>
          <w:sz w:val="24"/>
        </w:rPr>
        <w:t>Лссной</w:t>
      </w:r>
      <w:r>
        <w:rPr>
          <w:rFonts w:ascii="Times New Roman" w:hAnsi="Times New Roman"/>
          <w:b w:val="0"/>
          <w:color w:themeColor="text1" w:val="000000"/>
          <w:sz w:val="24"/>
        </w:rPr>
        <w:t>»</w:t>
      </w:r>
      <w:r>
        <w:rPr>
          <w:rFonts w:ascii="Times New Roman" w:hAnsi="Times New Roman"/>
          <w:b w:val="0"/>
          <w:color w:themeColor="text1" w:val="000000"/>
          <w:sz w:val="24"/>
        </w:rPr>
        <w:t>.</w:t>
      </w:r>
    </w:p>
    <w:p w14:paraId="08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 лицо, производящее акцепт этой Оферты, становится Заказчиком.</w:t>
      </w:r>
    </w:p>
    <w:p w14:paraId="09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Полным и безоговорочным акцептом настоящей публичной оферты является осуществление Заказчиком оплаты и заполнения Анкеты-заявки Заказчика.</w:t>
      </w:r>
    </w:p>
    <w:p w14:paraId="0A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 подтверждает свое согласие с условиями, установленными настоящим Договором, путем проставления отметки в графе «Я прочитал(-а) Условия договора - публичная оферта и согласен(-на) с условиями» при заполнении Анкеты заявки.</w:t>
      </w:r>
    </w:p>
    <w:p w14:paraId="0B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1.4. Отношения в области защиты прав потребителей регулируются Гражданским кодексом РФ, Законом «О защите прав потребителей» и принимаемыми в соответствии с ним иными федеральными законами и нормативными правовыми актами Российской Федерации.</w:t>
      </w:r>
    </w:p>
    <w:p w14:paraId="0C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1.5. Исполнитель оставляет за собой право вносить изменения в настоящий Договор, в связи с чем, Заказчик обязуется регулярно отслеживать изменения в Договоре, размещенном на сайте Исполнителя. Новые условия договора вступают в силу с момента публикации на сайте Исполнителя.</w:t>
      </w:r>
    </w:p>
    <w:p w14:paraId="0D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Понятия и термины, используемые в настоящем договоре:</w:t>
      </w:r>
    </w:p>
    <w:p w14:paraId="0E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«Оферта» — настоящий документ Публичная Оферта на оказание услуг.</w:t>
      </w:r>
    </w:p>
    <w:p w14:paraId="0F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«Акцепт Оферты» — полное и безвозвратное принятие Оферты. Акцепт оферты предполагает заключение договора оферты.</w:t>
      </w:r>
    </w:p>
    <w:p w14:paraId="10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«Заказчик» — лицо, осуществившее Акцепт Оферты, и становящееся таким образом Заказчиком Услуг по заключенному данному договору.</w:t>
      </w:r>
    </w:p>
    <w:p w14:paraId="11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«Договор Оферты» — договор между Исполнителем и Заказчиком на предоставление Услуг, который заключается посредством Акцепта Оферты.</w:t>
      </w:r>
    </w:p>
    <w:p w14:paraId="12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«Прайс-лист на услуги» — действующий систематизированный перечень Услуг Исполнителя с ценами, опубликованный на сайте </w:t>
      </w:r>
      <w:r>
        <w:rPr>
          <w:rStyle w:val="Style_5_ch"/>
          <w:rFonts w:ascii="Times New Roman" w:hAnsi="Times New Roman"/>
          <w:color w:val="005BD1"/>
          <w:sz w:val="23"/>
          <w:highlight w:val="white"/>
          <w:u w:val="none"/>
        </w:rPr>
        <w:fldChar w:fldCharType="begin"/>
      </w:r>
      <w:r>
        <w:rPr>
          <w:rStyle w:val="Style_5_ch"/>
          <w:rFonts w:ascii="Times New Roman" w:hAnsi="Times New Roman"/>
          <w:color w:val="005BD1"/>
          <w:sz w:val="23"/>
          <w:highlight w:val="white"/>
          <w:u w:val="none"/>
        </w:rPr>
        <w:instrText>HYPERLINK "http://www.migip.ru/events-and-activities/conference/609-mezhdunarodnaya-nauchno-prakticheskaya-konferentsiya-migip"</w:instrText>
      </w:r>
      <w:r>
        <w:rPr>
          <w:rStyle w:val="Style_5_ch"/>
          <w:rFonts w:ascii="Times New Roman" w:hAnsi="Times New Roman"/>
          <w:color w:val="005BD1"/>
          <w:sz w:val="23"/>
          <w:highlight w:val="white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5BD1"/>
          <w:sz w:val="23"/>
          <w:highlight w:val="white"/>
          <w:u w:val="none"/>
        </w:rPr>
        <w:t>http://www.migip.ru</w:t>
      </w:r>
      <w:r>
        <w:rPr>
          <w:rStyle w:val="Style_5_ch"/>
          <w:rFonts w:ascii="Times New Roman" w:hAnsi="Times New Roman"/>
          <w:color w:val="005BD1"/>
          <w:sz w:val="23"/>
          <w:highlight w:val="white"/>
          <w:u w:val="none"/>
        </w:rPr>
        <w:fldChar w:fldCharType="end"/>
      </w:r>
      <w:r>
        <w:rPr>
          <w:rFonts w:ascii="Times New Roman" w:hAnsi="Times New Roman"/>
        </w:rPr>
        <w:t>.</w:t>
      </w:r>
    </w:p>
    <w:p w14:paraId="13000000">
      <w:pPr>
        <w:pStyle w:val="Style_1"/>
        <w:ind w:firstLine="567" w:left="0"/>
        <w:jc w:val="both"/>
        <w:rPr>
          <w:rFonts w:ascii="Times New Roman" w:hAnsi="Times New Roman"/>
          <w:sz w:val="24"/>
        </w:rPr>
      </w:pPr>
    </w:p>
    <w:p w14:paraId="14000000">
      <w:pPr>
        <w:pStyle w:val="Style_1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ПРЕДМЕТ ДОГОВОРА</w:t>
      </w:r>
    </w:p>
    <w:p w14:paraId="15000000">
      <w:pPr>
        <w:pStyle w:val="Style_2"/>
        <w:ind w:firstLine="540" w:left="0"/>
        <w:jc w:val="both"/>
        <w:rPr>
          <w:rFonts w:ascii="Times New Roman" w:hAnsi="Times New Roman"/>
          <w:sz w:val="24"/>
        </w:rPr>
      </w:pPr>
    </w:p>
    <w:p w14:paraId="16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Исполнитель обязуется оказать услуги по участию представителей Заказчика в </w:t>
      </w:r>
      <w:r>
        <w:rPr>
          <w:rFonts w:ascii="Times New Roman" w:hAnsi="Times New Roman"/>
          <w:sz w:val="24"/>
        </w:rPr>
        <w:t>Летнем интенсиве</w:t>
      </w:r>
      <w:r>
        <w:rPr>
          <w:rFonts w:ascii="Times New Roman" w:hAnsi="Times New Roman"/>
          <w:sz w:val="24"/>
        </w:rPr>
        <w:t xml:space="preserve"> по теме: «</w:t>
      </w:r>
      <w:r>
        <w:rPr>
          <w:rFonts w:ascii="Times New Roman" w:hAnsi="Times New Roman"/>
          <w:sz w:val="24"/>
        </w:rPr>
        <w:t>Лесной</w:t>
      </w:r>
      <w:r>
        <w:rPr>
          <w:rFonts w:ascii="Times New Roman" w:hAnsi="Times New Roman"/>
          <w:sz w:val="24"/>
        </w:rPr>
        <w:t xml:space="preserve">» (далее - </w:t>
      </w:r>
      <w:r>
        <w:rPr>
          <w:rFonts w:ascii="Times New Roman" w:hAnsi="Times New Roman"/>
          <w:sz w:val="24"/>
        </w:rPr>
        <w:t>Интенсив</w:t>
      </w:r>
      <w:r>
        <w:rPr>
          <w:rFonts w:ascii="Times New Roman" w:hAnsi="Times New Roman"/>
          <w:sz w:val="24"/>
        </w:rPr>
        <w:t xml:space="preserve">) АНО ДПО «Московский Институт Гештальта и Психодрамы» (далее по тексту - услуги) в объёме и на условиях, предусмотренных настоящим Договором, а Заказчик обязуется оплатить эти услуги. </w:t>
      </w:r>
    </w:p>
    <w:p w14:paraId="17000000">
      <w:pPr>
        <w:pStyle w:val="Style_6"/>
        <w:spacing w:after="150" w:before="0"/>
        <w:ind/>
        <w:jc w:val="both"/>
      </w:pPr>
      <w:r>
        <w:t xml:space="preserve">        </w:t>
      </w:r>
      <w:r>
        <w:t>2</w:t>
      </w:r>
      <w:r>
        <w:t xml:space="preserve">.2. Место проведения </w:t>
      </w:r>
      <w:r>
        <w:t>Интенсива</w:t>
      </w:r>
      <w:r>
        <w:t xml:space="preserve">: </w:t>
      </w:r>
      <w:r>
        <w:t xml:space="preserve">Санаторий «ВЯТИЧИ» </w:t>
      </w:r>
      <w:r>
        <w:t xml:space="preserve">Калужская область, Жуковский р-н, г. </w:t>
      </w:r>
      <w:r>
        <w:t>Кременки</w:t>
      </w:r>
      <w:r>
        <w:t>, ул. Мира 17</w:t>
      </w:r>
    </w:p>
    <w:p w14:paraId="18000000">
      <w:pPr>
        <w:pStyle w:val="Style_6"/>
        <w:spacing w:after="150" w:before="0"/>
        <w:ind/>
        <w:jc w:val="both"/>
      </w:pPr>
      <w:r>
        <w:t xml:space="preserve">         </w:t>
      </w:r>
      <w:r>
        <w:t xml:space="preserve">2.3. </w:t>
      </w:r>
      <w:r>
        <w:t>Интенсив</w:t>
      </w:r>
      <w:r>
        <w:t xml:space="preserve"> проходит с </w:t>
      </w:r>
      <w:r>
        <w:t>20</w:t>
      </w:r>
      <w:r>
        <w:t xml:space="preserve"> </w:t>
      </w:r>
      <w:r>
        <w:t>по 28</w:t>
      </w:r>
      <w:r>
        <w:t xml:space="preserve"> июля 202</w:t>
      </w:r>
      <w:r>
        <w:t>4</w:t>
      </w:r>
      <w:r>
        <w:t xml:space="preserve"> г.</w:t>
      </w:r>
    </w:p>
    <w:p w14:paraId="19000000">
      <w:pPr>
        <w:pStyle w:val="Style_2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2.4. Оказание услуг по настоящему Договору оферте производится Исполнителем на основании заполнения Заявки и последующей оплаты исходя из положений п. 4.2. настоящего Договора.</w:t>
      </w:r>
    </w:p>
    <w:p w14:paraId="1A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2.5. Заявка не является бронированием и аннулируется при отсутствии оплаты в </w:t>
      </w:r>
      <w:r>
        <w:rPr>
          <w:rFonts w:ascii="Times New Roman" w:hAnsi="Times New Roman"/>
          <w:color w:val="000000"/>
          <w:sz w:val="24"/>
        </w:rPr>
        <w:t>течении 2х суток.</w:t>
      </w:r>
    </w:p>
    <w:p w14:paraId="1B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C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D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3. ПРАВА И ОБЯЗАННОСТИ СТОРОН</w:t>
      </w:r>
    </w:p>
    <w:p w14:paraId="1E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3.1. Институт:</w:t>
      </w:r>
    </w:p>
    <w:p w14:paraId="1F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3.1.1.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Обязан организовать участие представителей Заказчика в </w:t>
      </w:r>
      <w:r>
        <w:rPr>
          <w:rFonts w:ascii="Times New Roman" w:hAnsi="Times New Roman"/>
          <w:color w:val="000000"/>
          <w:sz w:val="24"/>
        </w:rPr>
        <w:t>интенсиве</w:t>
      </w:r>
      <w:r>
        <w:rPr>
          <w:rFonts w:ascii="Times New Roman" w:hAnsi="Times New Roman"/>
          <w:color w:val="000000"/>
          <w:sz w:val="24"/>
        </w:rPr>
        <w:t>, в соответствии с настоящим договором по Анкете-заявке Заказчика, при наличии оплаты.</w:t>
      </w:r>
    </w:p>
    <w:p w14:paraId="20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3.1.2.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Предоставляет Заказчику (представителям Заказчика) необходимую и достоверную информ</w:t>
      </w:r>
      <w:r>
        <w:rPr>
          <w:rFonts w:ascii="Times New Roman" w:hAnsi="Times New Roman"/>
          <w:color w:val="000000"/>
          <w:sz w:val="24"/>
        </w:rPr>
        <w:t>ацию и материалы об организуемом</w:t>
      </w:r>
      <w:r>
        <w:rPr>
          <w:rFonts w:ascii="Times New Roman" w:hAnsi="Times New Roman"/>
          <w:color w:val="000000"/>
          <w:sz w:val="24"/>
        </w:rPr>
        <w:t xml:space="preserve"> выездно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Интенсиве</w:t>
      </w:r>
      <w:r>
        <w:rPr>
          <w:rFonts w:ascii="Times New Roman" w:hAnsi="Times New Roman"/>
          <w:color w:val="000000"/>
          <w:sz w:val="24"/>
        </w:rPr>
        <w:t>, разъясняет её специфику и условия оказания иных возможных услуг;</w:t>
      </w:r>
    </w:p>
    <w:p w14:paraId="21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3.1.3.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Обеспечивает организацию сервисного обслуживания;</w:t>
      </w:r>
    </w:p>
    <w:p w14:paraId="22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3.2. Заказчик:</w:t>
      </w:r>
    </w:p>
    <w:p w14:paraId="23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3.2.1.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Обязуется оплатить стоимость заказанных услуг в соответствии с разделом 3 Договора;</w:t>
      </w:r>
    </w:p>
    <w:p w14:paraId="24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3.2.2.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Обязуется предоставить Институту необходимые для участия в </w:t>
      </w:r>
      <w:r>
        <w:rPr>
          <w:rFonts w:ascii="Times New Roman" w:hAnsi="Times New Roman"/>
          <w:color w:val="000000"/>
          <w:sz w:val="24"/>
        </w:rPr>
        <w:t>Интенсиве</w:t>
      </w:r>
      <w:r>
        <w:rPr>
          <w:rFonts w:ascii="Times New Roman" w:hAnsi="Times New Roman"/>
          <w:color w:val="000000"/>
          <w:sz w:val="24"/>
        </w:rPr>
        <w:t xml:space="preserve"> либо оказания иных услуг, полные и достоверные сведения на представителей, участвующих в </w:t>
      </w:r>
      <w:r>
        <w:rPr>
          <w:rFonts w:ascii="Times New Roman" w:hAnsi="Times New Roman"/>
          <w:color w:val="000000"/>
          <w:sz w:val="24"/>
        </w:rPr>
        <w:t>Интенсиве</w:t>
      </w:r>
      <w:r>
        <w:rPr>
          <w:rFonts w:ascii="Times New Roman" w:hAnsi="Times New Roman"/>
          <w:color w:val="000000"/>
          <w:sz w:val="24"/>
        </w:rPr>
        <w:t xml:space="preserve">, в соответствии с Анкетой-заявкой участника </w:t>
      </w:r>
      <w:r>
        <w:rPr>
          <w:rFonts w:ascii="Times New Roman" w:hAnsi="Times New Roman"/>
          <w:color w:val="000000"/>
          <w:sz w:val="24"/>
        </w:rPr>
        <w:t>Интенсива</w:t>
      </w:r>
      <w:r>
        <w:rPr>
          <w:rFonts w:ascii="Times New Roman" w:hAnsi="Times New Roman"/>
          <w:color w:val="000000"/>
          <w:sz w:val="24"/>
        </w:rPr>
        <w:t>;</w:t>
      </w:r>
    </w:p>
    <w:p w14:paraId="25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3.2.3.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Обязан ознакомиться с предоставляемой информацией об организуемой программе, специфике и условиях оказания иных услуг;</w:t>
      </w:r>
    </w:p>
    <w:p w14:paraId="26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3.2.4.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Вправе в любое время, в одностороннем порядке расторгнуть Договор, уплатив Институту неустойку в размере предусмотренном п.5.</w:t>
      </w:r>
      <w:r>
        <w:rPr>
          <w:rFonts w:ascii="Times New Roman" w:hAnsi="Times New Roman"/>
          <w:color w:val="000000"/>
          <w:sz w:val="24"/>
        </w:rPr>
        <w:t>6</w:t>
      </w:r>
      <w:r>
        <w:rPr>
          <w:rFonts w:ascii="Times New Roman" w:hAnsi="Times New Roman"/>
          <w:color w:val="000000"/>
          <w:sz w:val="24"/>
        </w:rPr>
        <w:t>. Договора;</w:t>
      </w:r>
    </w:p>
    <w:p w14:paraId="27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3.2.5.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Несёт ответственность за собственное здоровье и здоровье сопровождающих лиц в течение всего в</w:t>
      </w:r>
      <w:r>
        <w:rPr>
          <w:rFonts w:ascii="Times New Roman" w:hAnsi="Times New Roman"/>
          <w:color w:val="000000"/>
          <w:sz w:val="24"/>
        </w:rPr>
        <w:t>ремени пребывания на интенсиве</w:t>
      </w:r>
      <w:r>
        <w:rPr>
          <w:rFonts w:ascii="Times New Roman" w:hAnsi="Times New Roman"/>
          <w:color w:val="000000"/>
          <w:sz w:val="24"/>
        </w:rPr>
        <w:t>;</w:t>
      </w:r>
    </w:p>
    <w:p w14:paraId="28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p w14:paraId="29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4. СТОИМОСТЬ УСЛУГ И ПОРЯДОК ОПЛАТЫ</w:t>
      </w:r>
    </w:p>
    <w:p w14:paraId="2A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B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4.1.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Стоимость услуг Института в соответствии с Анкетой-заявкой на участие в </w:t>
      </w:r>
      <w:r>
        <w:rPr>
          <w:rFonts w:ascii="Times New Roman" w:hAnsi="Times New Roman"/>
          <w:color w:val="000000"/>
          <w:sz w:val="24"/>
        </w:rPr>
        <w:t>Интенсив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 состоит из стоимости проживания и организационного взноса. </w:t>
      </w:r>
    </w:p>
    <w:p w14:paraId="2C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4.2. Установлены следующие цены:</w:t>
      </w:r>
    </w:p>
    <w:p w14:paraId="2D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tbl>
      <w:tblPr>
        <w:tblStyle w:val="Style_7"/>
        <w:tblW w:type="auto" w:w="0"/>
        <w:tblLayout w:type="fixed"/>
        <w:tblCellMar>
          <w:left w:type="dxa" w:w="0"/>
          <w:right w:type="dxa" w:w="0"/>
        </w:tblCellMar>
      </w:tblPr>
      <w:tblGrid>
        <w:gridCol w:w="1699"/>
        <w:gridCol w:w="1811"/>
        <w:gridCol w:w="1530"/>
        <w:gridCol w:w="1530"/>
        <w:gridCol w:w="1530"/>
        <w:gridCol w:w="1530"/>
      </w:tblGrid>
      <w:tr>
        <w:tc>
          <w:tcPr>
            <w:tcW w:type="dxa" w:w="9630"/>
            <w:gridSpan w:val="6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2E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 xml:space="preserve">Ценообразование </w:t>
            </w: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>Интенсив</w:t>
            </w: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 xml:space="preserve"> </w:t>
            </w: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 xml:space="preserve"> </w:t>
            </w: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>Лесной</w:t>
            </w: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 xml:space="preserve"> </w:t>
            </w: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>202</w:t>
            </w: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>4</w:t>
            </w: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>г.</w:t>
            </w:r>
          </w:p>
        </w:tc>
      </w:tr>
      <w:tr>
        <w:tc>
          <w:tcPr>
            <w:tcW w:type="dxa" w:w="1699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2F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>Номер</w:t>
            </w:r>
          </w:p>
        </w:tc>
        <w:tc>
          <w:tcPr>
            <w:tcW w:type="dxa" w:w="1811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30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>Формат проживания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31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 xml:space="preserve">До </w:t>
            </w: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>-01.03.2024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32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 xml:space="preserve">До </w:t>
            </w: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>01.05.2024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33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>До 01.07</w:t>
            </w: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>.202</w:t>
            </w: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>4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34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>После 01.07.2024</w:t>
            </w:r>
            <w:r>
              <w:rPr>
                <w:rFonts w:ascii="Futura PT" w:hAnsi="Futura PT"/>
                <w:b w:val="1"/>
                <w:color w:themeColor="accent1" w:themeShade="80" w:val="1F4F79"/>
                <w:sz w:val="24"/>
              </w:rPr>
              <w:t xml:space="preserve"> при наличии мест</w:t>
            </w:r>
          </w:p>
        </w:tc>
      </w:tr>
      <w:tr>
        <w:trPr>
          <w:trHeight w:hRule="atLeast" w:val="1232"/>
        </w:trPr>
        <w:tc>
          <w:tcPr>
            <w:tcW w:type="dxa" w:w="1699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35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STDP (Стандарт+)</w:t>
            </w:r>
          </w:p>
        </w:tc>
        <w:tc>
          <w:tcPr>
            <w:tcW w:type="dxa" w:w="1811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36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при одноместном проживании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37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77.000р.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38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80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.000р.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39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83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.000р.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3A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85.000р.</w:t>
            </w:r>
          </w:p>
        </w:tc>
      </w:tr>
      <w:tr>
        <w:tc>
          <w:tcPr>
            <w:tcW w:type="dxa" w:w="1699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3B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STD (Стандарт)</w:t>
            </w:r>
          </w:p>
          <w:p w14:paraId="3C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</w:p>
          <w:p w14:paraId="3D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STDP (Стандарт+)</w:t>
            </w:r>
          </w:p>
        </w:tc>
        <w:tc>
          <w:tcPr>
            <w:tcW w:type="dxa" w:w="1811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3E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при двухместном проживании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3F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68.000р.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40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71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.000р.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41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74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.000р.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42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76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.000р.</w:t>
            </w:r>
          </w:p>
        </w:tc>
      </w:tr>
      <w:tr>
        <w:tc>
          <w:tcPr>
            <w:tcW w:type="dxa" w:w="1699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43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STD (Стандарт)</w:t>
            </w:r>
          </w:p>
          <w:p w14:paraId="44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</w:p>
          <w:p w14:paraId="45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STDP (Стандарт+)</w:t>
            </w:r>
          </w:p>
        </w:tc>
        <w:tc>
          <w:tcPr>
            <w:tcW w:type="dxa" w:w="1811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46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Д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етям с 3-х до 12 лет  при двухместном проживании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47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30.000р.</w:t>
            </w:r>
          </w:p>
          <w:p w14:paraId="48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 xml:space="preserve">16.000р. 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орг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.в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знос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 xml:space="preserve"> ( при желании) 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49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30.000р.</w:t>
            </w:r>
          </w:p>
          <w:p w14:paraId="4A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 xml:space="preserve">16.000р. 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орг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.в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знос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 xml:space="preserve"> ( при желании)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4B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30.000р.</w:t>
            </w:r>
          </w:p>
          <w:p w14:paraId="4C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 xml:space="preserve">16.000р. 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орг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.в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знос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 xml:space="preserve"> ( при желании)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4D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30.000р.</w:t>
            </w:r>
          </w:p>
          <w:p w14:paraId="4E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 xml:space="preserve">16.000р. 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орг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.в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>знос</w:t>
            </w:r>
            <w:r>
              <w:rPr>
                <w:rFonts w:ascii="Futura PT" w:hAnsi="Futura PT"/>
                <w:color w:themeColor="accent1" w:themeShade="80" w:val="1F4F79"/>
                <w:sz w:val="24"/>
              </w:rPr>
              <w:t xml:space="preserve"> ( при желании)</w:t>
            </w:r>
          </w:p>
        </w:tc>
      </w:tr>
      <w:tr>
        <w:tc>
          <w:tcPr>
            <w:tcW w:type="dxa" w:w="1699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4F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STD (Стандарт)</w:t>
            </w:r>
          </w:p>
          <w:p w14:paraId="50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</w:p>
          <w:p w14:paraId="51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STDP (Стандарт+)</w:t>
            </w:r>
          </w:p>
        </w:tc>
        <w:tc>
          <w:tcPr>
            <w:tcW w:type="dxa" w:w="1811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52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при двухместном проживании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53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48.000р.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54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50.000р.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55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52.000р.</w:t>
            </w:r>
          </w:p>
        </w:tc>
        <w:tc>
          <w:tcPr>
            <w:tcW w:type="dxa" w:w="153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56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54.000р.</w:t>
            </w:r>
          </w:p>
        </w:tc>
      </w:tr>
    </w:tbl>
    <w:p w14:paraId="57000000">
      <w:pPr>
        <w:spacing w:after="0" w:line="240" w:lineRule="auto"/>
        <w:ind w:firstLine="567" w:left="0"/>
        <w:jc w:val="both"/>
        <w:rPr>
          <w:rFonts w:ascii="Times New Roman" w:hAnsi="Times New Roman"/>
          <w:color w:themeColor="text1" w:val="000000"/>
          <w:sz w:val="24"/>
        </w:rPr>
      </w:pPr>
    </w:p>
    <w:tbl>
      <w:tblPr>
        <w:tblStyle w:val="Style_7"/>
        <w:tblW w:type="auto" w:w="0"/>
        <w:tblLayout w:type="fixed"/>
        <w:tblCellMar>
          <w:left w:type="dxa" w:w="0"/>
          <w:right w:type="dxa" w:w="0"/>
        </w:tblCellMar>
      </w:tblPr>
      <w:tblGrid>
        <w:gridCol w:w="1699"/>
        <w:gridCol w:w="1787"/>
        <w:gridCol w:w="1559"/>
        <w:gridCol w:w="1750"/>
        <w:gridCol w:w="1290"/>
        <w:gridCol w:w="1496"/>
      </w:tblGrid>
      <w:tr>
        <w:tc>
          <w:tcPr>
            <w:tcW w:type="dxa" w:w="1699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58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STD (Стандарт)</w:t>
            </w:r>
          </w:p>
          <w:p w14:paraId="59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</w:p>
          <w:p w14:paraId="5A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STDP (Стандарт+)</w:t>
            </w:r>
          </w:p>
        </w:tc>
        <w:tc>
          <w:tcPr>
            <w:tcW w:type="dxa" w:w="1787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5B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 xml:space="preserve">Супервизорам </w:t>
            </w:r>
          </w:p>
          <w:p w14:paraId="5C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при двухместном проживании</w:t>
            </w:r>
          </w:p>
        </w:tc>
        <w:tc>
          <w:tcPr>
            <w:tcW w:type="dxa" w:w="1559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5D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61.000р.</w:t>
            </w:r>
          </w:p>
        </w:tc>
        <w:tc>
          <w:tcPr>
            <w:tcW w:type="dxa" w:w="175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5E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63.000р.</w:t>
            </w:r>
          </w:p>
        </w:tc>
        <w:tc>
          <w:tcPr>
            <w:tcW w:type="dxa" w:w="1290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5F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>65.000р.</w:t>
            </w:r>
          </w:p>
        </w:tc>
        <w:tc>
          <w:tcPr>
            <w:tcW w:type="dxa" w:w="1496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tcMar>
              <w:top w:type="dxa" w:w="225"/>
              <w:left w:type="dxa" w:w="225"/>
              <w:bottom w:type="dxa" w:w="225"/>
              <w:right w:type="dxa" w:w="225"/>
            </w:tcMar>
            <w:vAlign w:val="center"/>
          </w:tcPr>
          <w:p w14:paraId="60000000">
            <w:pPr>
              <w:spacing w:after="0" w:line="240" w:lineRule="auto"/>
              <w:ind/>
              <w:rPr>
                <w:rFonts w:ascii="Futura PT" w:hAnsi="Futura PT"/>
                <w:color w:themeColor="accent1" w:themeShade="80" w:val="1F4F79"/>
                <w:sz w:val="24"/>
              </w:rPr>
            </w:pPr>
            <w:r>
              <w:rPr>
                <w:rFonts w:ascii="Futura PT" w:hAnsi="Futura PT"/>
                <w:color w:themeColor="accent1" w:themeShade="80" w:val="1F4F79"/>
                <w:sz w:val="24"/>
              </w:rPr>
              <w:t xml:space="preserve">67.000р. </w:t>
            </w:r>
          </w:p>
        </w:tc>
      </w:tr>
    </w:tbl>
    <w:p w14:paraId="61000000">
      <w:pPr>
        <w:spacing w:after="0" w:line="240" w:lineRule="auto"/>
        <w:ind w:firstLine="567" w:left="0"/>
        <w:jc w:val="both"/>
        <w:rPr>
          <w:rFonts w:ascii="Times New Roman" w:hAnsi="Times New Roman"/>
          <w:color w:themeColor="text1" w:val="000000"/>
          <w:sz w:val="24"/>
        </w:rPr>
      </w:pPr>
      <w:bookmarkStart w:id="1" w:name="_GoBack"/>
      <w:bookmarkEnd w:id="1"/>
    </w:p>
    <w:p w14:paraId="62000000">
      <w:pPr>
        <w:spacing w:after="0" w:line="240" w:lineRule="auto"/>
        <w:ind w:firstLine="567" w:left="0"/>
        <w:jc w:val="both"/>
        <w:rPr>
          <w:rFonts w:ascii="Times New Roman" w:hAnsi="Times New Roman"/>
          <w:color w:themeColor="text1" w:val="000000"/>
          <w:sz w:val="24"/>
        </w:rPr>
      </w:pPr>
    </w:p>
    <w:p w14:paraId="6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6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Оплата у</w:t>
      </w:r>
      <w:r>
        <w:rPr>
          <w:rFonts w:ascii="Times New Roman" w:hAnsi="Times New Roman"/>
          <w:sz w:val="24"/>
        </w:rPr>
        <w:t>слуг осуществляется Заказчиком</w:t>
      </w:r>
      <w:r>
        <w:rPr>
          <w:rFonts w:ascii="Times New Roman" w:hAnsi="Times New Roman"/>
          <w:sz w:val="24"/>
        </w:rPr>
        <w:t xml:space="preserve"> путем перечисления на расчетный счет Института 100% стоимости заказанных услуг в рублях.</w:t>
      </w:r>
    </w:p>
    <w:p w14:paraId="65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4.4. Порядок сдачи и приемки услуг.</w:t>
      </w:r>
    </w:p>
    <w:p w14:paraId="66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4.4.1. После оплаты всех услуг Заказчиком и выполнения всех услуг Институтом (окончание </w:t>
      </w:r>
      <w:r>
        <w:rPr>
          <w:rFonts w:ascii="Times New Roman" w:hAnsi="Times New Roman"/>
          <w:color w:val="000000"/>
          <w:sz w:val="24"/>
        </w:rPr>
        <w:t>интенсива</w:t>
      </w:r>
      <w:r>
        <w:rPr>
          <w:rFonts w:ascii="Times New Roman" w:hAnsi="Times New Roman"/>
          <w:color w:val="000000"/>
          <w:sz w:val="24"/>
        </w:rPr>
        <w:t xml:space="preserve">), а также в случае отсутствия письменных претензий со стороны Заказчика, услуги считаются оказанными в срок и с надлежащим качеством. Акт приемки-сдачи выполненных работ подписывать не требуется. </w:t>
      </w:r>
    </w:p>
    <w:p w14:paraId="67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4.4.2. Претензии по оказанным услугам принимаются в письменном виде с документальным подтверждением изложенных в претензии фактов в течение пяти календарных </w:t>
      </w:r>
      <w:r>
        <w:rPr>
          <w:rFonts w:ascii="Times New Roman" w:hAnsi="Times New Roman"/>
          <w:color w:val="000000"/>
          <w:sz w:val="24"/>
        </w:rPr>
        <w:t>дней после окончания интенсива</w:t>
      </w:r>
      <w:r>
        <w:rPr>
          <w:rFonts w:ascii="Times New Roman" w:hAnsi="Times New Roman"/>
          <w:color w:val="000000"/>
          <w:sz w:val="24"/>
        </w:rPr>
        <w:t>. Датой письменного уведомления считается дата штемпеля почтового ведомства о принятии письма. Все письменные уведомления представитель Заказчика должен одновременно с отправкой по почте продублировать по факсу или электронной почте.</w:t>
      </w:r>
    </w:p>
    <w:p w14:paraId="68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p w14:paraId="69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p w14:paraId="6A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p w14:paraId="6B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p w14:paraId="6C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p w14:paraId="6D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p w14:paraId="6E000000">
      <w:pPr>
        <w:spacing w:after="0" w:line="240" w:lineRule="auto"/>
        <w:ind w:firstLine="540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5. ОТВЕТС</w:t>
      </w:r>
      <w:r>
        <w:rPr>
          <w:rFonts w:ascii="Times New Roman" w:hAnsi="Times New Roman"/>
          <w:b w:val="1"/>
          <w:color w:val="000000"/>
          <w:sz w:val="24"/>
        </w:rPr>
        <w:t>Т</w:t>
      </w:r>
      <w:r>
        <w:rPr>
          <w:rFonts w:ascii="Times New Roman" w:hAnsi="Times New Roman"/>
          <w:b w:val="1"/>
          <w:color w:val="000000"/>
          <w:sz w:val="24"/>
        </w:rPr>
        <w:t>ВЕННОСТЬ СТОРОН И ПОРЯДОК РАССМОТРЕНИЯ СПОРОВ</w:t>
      </w:r>
    </w:p>
    <w:p w14:paraId="6F000000">
      <w:pPr>
        <w:numPr>
          <w:ilvl w:val="0"/>
          <w:numId w:val="1"/>
        </w:num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 неисполнение своих обязательств Стороны несут ответственность в соответствии с законодательством РФ.</w:t>
      </w:r>
    </w:p>
    <w:p w14:paraId="70000000">
      <w:pPr>
        <w:numPr>
          <w:ilvl w:val="0"/>
          <w:numId w:val="1"/>
        </w:num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Институт не несёт ответственности перед представителем Заказчика </w:t>
      </w:r>
    </w:p>
    <w:p w14:paraId="71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 случае ремонта, строительных работ, начавшихся после заселения представителя Заказчика в отель, а также за иные действия, предпринимаемые администрацией отеля;</w:t>
      </w:r>
    </w:p>
    <w:p w14:paraId="72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 случае самостоятельного изменения представителем</w:t>
      </w:r>
      <w:r>
        <w:rPr>
          <w:rFonts w:ascii="Times New Roman" w:hAnsi="Times New Roman"/>
          <w:color w:val="000000"/>
          <w:sz w:val="24"/>
        </w:rPr>
        <w:t xml:space="preserve"> Заказчика программы Интенсива</w:t>
      </w:r>
      <w:r>
        <w:rPr>
          <w:rFonts w:ascii="Times New Roman" w:hAnsi="Times New Roman"/>
          <w:color w:val="000000"/>
          <w:sz w:val="24"/>
        </w:rPr>
        <w:t>, повлекшего за собой дополнительные расходы со стороны Заказчика;</w:t>
      </w:r>
    </w:p>
    <w:p w14:paraId="73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за неблагоприятные обстоятельства, возникшие по вине представителя Заказчика (нея</w:t>
      </w:r>
      <w:r>
        <w:rPr>
          <w:rFonts w:ascii="Times New Roman" w:hAnsi="Times New Roman"/>
          <w:color w:val="000000"/>
          <w:sz w:val="24"/>
        </w:rPr>
        <w:t>вка и т.п.</w:t>
      </w:r>
      <w:r>
        <w:rPr>
          <w:rFonts w:ascii="Times New Roman" w:hAnsi="Times New Roman"/>
          <w:color w:val="000000"/>
          <w:sz w:val="24"/>
        </w:rPr>
        <w:t>) и не возмещает Заказчику убытки, понесённые в связи с вышеизложенным.</w:t>
      </w:r>
    </w:p>
    <w:p w14:paraId="74000000">
      <w:pPr>
        <w:numPr>
          <w:ilvl w:val="0"/>
          <w:numId w:val="2"/>
        </w:num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Институт не возвращает стоимость услуг, которыми представитель Заказчика не воспользовался по своей воле во</w:t>
      </w:r>
      <w:r>
        <w:rPr>
          <w:rFonts w:ascii="Times New Roman" w:hAnsi="Times New Roman"/>
          <w:color w:val="000000"/>
          <w:sz w:val="24"/>
        </w:rPr>
        <w:t xml:space="preserve"> время пребывания на Интенсиве</w:t>
      </w:r>
      <w:r>
        <w:rPr>
          <w:rFonts w:ascii="Times New Roman" w:hAnsi="Times New Roman"/>
          <w:color w:val="000000"/>
          <w:sz w:val="24"/>
        </w:rPr>
        <w:t>.</w:t>
      </w:r>
    </w:p>
    <w:p w14:paraId="75000000">
      <w:pPr>
        <w:spacing w:after="0" w:line="240" w:lineRule="auto"/>
        <w:ind w:firstLine="0" w:left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5.4.</w:t>
      </w:r>
      <w:r>
        <w:rPr>
          <w:rFonts w:ascii="Times New Roman" w:hAnsi="Times New Roman"/>
          <w:color w:val="000000"/>
          <w:sz w:val="24"/>
        </w:rPr>
        <w:t xml:space="preserve"> Институт гарантирует оказание всех оговоренных услуг, но не несёт ответственности за несоответствие предоставленных услуг ожиданиям представителя Заказчика.</w:t>
      </w:r>
    </w:p>
    <w:p w14:paraId="76000000">
      <w:pPr>
        <w:pStyle w:val="Style_8"/>
        <w:numPr>
          <w:ilvl w:val="1"/>
          <w:numId w:val="3"/>
        </w:num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Стороны вправе в одностороннем порядке расторгнуть настоящий Договор.</w:t>
      </w:r>
    </w:p>
    <w:p w14:paraId="77000000">
      <w:pPr>
        <w:spacing w:after="0" w:line="240" w:lineRule="auto"/>
        <w:ind w:firstLine="0" w:left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5.6. </w:t>
      </w:r>
      <w:r>
        <w:rPr>
          <w:rFonts w:ascii="Times New Roman" w:hAnsi="Times New Roman"/>
          <w:color w:val="000000"/>
          <w:sz w:val="24"/>
        </w:rPr>
        <w:t xml:space="preserve">При досрочном расторжении Договора по инициативе Заказчика Исполнитель возвращает денежные средства в следующих размерах: </w:t>
      </w:r>
    </w:p>
    <w:p w14:paraId="78000000">
      <w:pPr>
        <w:spacing w:after="0" w:line="240" w:lineRule="auto"/>
        <w:ind w:firstLine="0" w:left="426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5.6.</w:t>
      </w:r>
      <w:r>
        <w:rPr>
          <w:rFonts w:ascii="Times New Roman" w:hAnsi="Times New Roman"/>
          <w:color w:val="FF0000"/>
          <w:sz w:val="24"/>
        </w:rPr>
        <w:t>1</w:t>
      </w:r>
      <w:r>
        <w:rPr>
          <w:rFonts w:ascii="Times New Roman" w:hAnsi="Times New Roman"/>
          <w:color w:val="FF0000"/>
          <w:sz w:val="24"/>
        </w:rPr>
        <w:t>. до 01.06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>202</w:t>
      </w:r>
      <w:r>
        <w:rPr>
          <w:rFonts w:ascii="Times New Roman" w:hAnsi="Times New Roman"/>
          <w:color w:val="FF0000"/>
          <w:sz w:val="24"/>
        </w:rPr>
        <w:t xml:space="preserve"> – в размере 50% от оплаченной суммы,</w:t>
      </w:r>
    </w:p>
    <w:p w14:paraId="79000000">
      <w:pPr>
        <w:spacing w:after="0" w:line="240" w:lineRule="auto"/>
        <w:ind w:firstLine="0" w:left="426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5.6.</w:t>
      </w:r>
      <w:r>
        <w:rPr>
          <w:rFonts w:ascii="Times New Roman" w:hAnsi="Times New Roman"/>
          <w:color w:val="FF0000"/>
          <w:sz w:val="24"/>
        </w:rPr>
        <w:t>2</w:t>
      </w:r>
      <w:r>
        <w:rPr>
          <w:rFonts w:ascii="Times New Roman" w:hAnsi="Times New Roman"/>
          <w:color w:val="FF0000"/>
          <w:sz w:val="24"/>
        </w:rPr>
        <w:t>. до 01.07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>2022</w:t>
      </w:r>
      <w:r>
        <w:rPr>
          <w:rFonts w:ascii="Times New Roman" w:hAnsi="Times New Roman"/>
          <w:color w:val="FF0000"/>
          <w:sz w:val="24"/>
        </w:rPr>
        <w:t xml:space="preserve"> – в размере 10%, от оплаченной суммы.</w:t>
      </w:r>
    </w:p>
    <w:p w14:paraId="7A000000">
      <w:pPr>
        <w:spacing w:after="0" w:line="240" w:lineRule="auto"/>
        <w:ind w:firstLine="0" w:left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5.7. При досрочном расторжении договора по инициативе Заказчика после сроков указанных в п. 5.6. настоящего Договора денежные средства не возвращаются. </w:t>
      </w:r>
    </w:p>
    <w:p w14:paraId="7B000000">
      <w:pPr>
        <w:spacing w:after="0" w:line="240" w:lineRule="auto"/>
        <w:ind w:firstLine="0" w:left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5.8. При невозможнос</w:t>
      </w:r>
      <w:r>
        <w:rPr>
          <w:rFonts w:ascii="Times New Roman" w:hAnsi="Times New Roman"/>
          <w:color w:val="000000"/>
          <w:sz w:val="24"/>
        </w:rPr>
        <w:t>ти Заказчика присутствовать на интенсиве</w:t>
      </w:r>
      <w:r>
        <w:rPr>
          <w:rFonts w:ascii="Times New Roman" w:hAnsi="Times New Roman"/>
          <w:color w:val="000000"/>
          <w:sz w:val="24"/>
        </w:rPr>
        <w:t xml:space="preserve">, по согласованию с Исполнителем, принять участие в </w:t>
      </w:r>
      <w:r>
        <w:rPr>
          <w:rFonts w:ascii="Times New Roman" w:hAnsi="Times New Roman"/>
          <w:color w:val="000000"/>
          <w:sz w:val="24"/>
        </w:rPr>
        <w:t>интенсиве</w:t>
      </w:r>
      <w:r>
        <w:rPr>
          <w:rFonts w:ascii="Times New Roman" w:hAnsi="Times New Roman"/>
          <w:color w:val="000000"/>
          <w:sz w:val="24"/>
        </w:rPr>
        <w:t xml:space="preserve"> вправе иное лицо. При замене участника </w:t>
      </w:r>
      <w:r>
        <w:rPr>
          <w:rFonts w:ascii="Times New Roman" w:hAnsi="Times New Roman"/>
          <w:color w:val="000000"/>
          <w:sz w:val="24"/>
        </w:rPr>
        <w:t>интенсива</w:t>
      </w:r>
      <w:r>
        <w:rPr>
          <w:rFonts w:ascii="Times New Roman" w:hAnsi="Times New Roman"/>
          <w:color w:val="000000"/>
          <w:sz w:val="24"/>
        </w:rPr>
        <w:t xml:space="preserve"> Заказчик обязан направить все необходимые документы для внесения изменений в список участников </w:t>
      </w:r>
      <w:r>
        <w:rPr>
          <w:rFonts w:ascii="Times New Roman" w:hAnsi="Times New Roman"/>
          <w:color w:val="000000"/>
          <w:sz w:val="24"/>
        </w:rPr>
        <w:t>интенсива</w:t>
      </w:r>
      <w:r>
        <w:rPr>
          <w:rFonts w:ascii="Times New Roman" w:hAnsi="Times New Roman"/>
          <w:color w:val="000000"/>
          <w:sz w:val="24"/>
        </w:rPr>
        <w:t>, а также для направления информации Администрации отеля.</w:t>
      </w:r>
    </w:p>
    <w:p w14:paraId="7C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5.9. Стороны примут меры к разрешению споров путём переговоров.</w:t>
      </w:r>
    </w:p>
    <w:p w14:paraId="7D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</w:p>
    <w:p w14:paraId="7E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</w:p>
    <w:p w14:paraId="7F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</w:p>
    <w:p w14:paraId="80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</w:p>
    <w:p w14:paraId="81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</w:p>
    <w:p w14:paraId="82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</w:p>
    <w:p w14:paraId="83000000">
      <w:pPr>
        <w:spacing w:after="0" w:line="240" w:lineRule="auto"/>
        <w:ind w:firstLine="540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6. ФОРС-МАЖОР</w:t>
      </w:r>
    </w:p>
    <w:p w14:paraId="84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6.1. Сторона освобождается от ответственности за частичное или полное неисполнение обязательств по Договору, если это неисполнение обязательств явилось следствием обстоятельств непреодолимой силы, возникших после подписания Договора в результате обстоятельств чрезвычайного характера, которые Сторона не могла ни предвидеть, ни предотвратить различными мерами.</w:t>
      </w:r>
    </w:p>
    <w:p w14:paraId="85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6.2. К таким обстоятельствам чрезвычайного характера относятся: пожар, наводнение, землетрясение и иные стихийные бедствия, а также война, военные действия, гражданская война и любые другие обстоятельства вне разумного контроля Сторон Договора, влияющие на непосредственное выполнение его условий.</w:t>
      </w:r>
    </w:p>
    <w:p w14:paraId="86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</w:p>
    <w:p w14:paraId="87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</w:p>
    <w:p w14:paraId="88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</w:p>
    <w:p w14:paraId="89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 ПЕРСОНАЛЬНЫЕ ДАННЫЕ</w:t>
      </w:r>
    </w:p>
    <w:p w14:paraId="8A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7.1. В рамках Договора Заказчик дает согласие на обработку Исполнителем персональных данных.</w:t>
      </w:r>
    </w:p>
    <w:p w14:paraId="8B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7.2. В рамках согласия Исполнитель совершает следующие действия с персональными данными: сбор, систематизацию, накопление, хранение, уточнение, обезличивание, блокирование, уничтожение, в соответствии с положениями Федерального закона от 27.07.2006 №152-ФЗ «О персональных данных», а также передачу информации третьим лицам в случаях, предусмотренных действующим законодательством Российской Федерации.</w:t>
      </w:r>
    </w:p>
    <w:p w14:paraId="8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D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</w:p>
    <w:p w14:paraId="8E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 РЕКВИЗИТЫ</w:t>
      </w:r>
    </w:p>
    <w:tbl>
      <w:tblPr>
        <w:tblStyle w:val="Style_7"/>
        <w:tblW w:type="auto" w:w="0"/>
        <w:tblLayout w:type="fixed"/>
      </w:tblPr>
      <w:tblGrid>
        <w:gridCol w:w="4894"/>
      </w:tblGrid>
      <w:tr>
        <w:tc>
          <w:tcPr>
            <w:tcW w:type="dxa" w:w="4894"/>
            <w:shd w:fill="auto" w:val="clear"/>
          </w:tcPr>
          <w:p w14:paraId="8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Институт</w:t>
            </w:r>
          </w:p>
        </w:tc>
      </w:tr>
      <w:tr>
        <w:tc>
          <w:tcPr>
            <w:tcW w:type="dxa" w:w="4894"/>
            <w:shd w:fill="auto" w:val="clear"/>
          </w:tcPr>
          <w:p w14:paraId="90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АВТОНОМНАЯ НЕКОММЕРЧЕСКАЯ ОРГАНИЗАЦИЯ ДОПОЛНИТЕЛЬНОГО ПРОФЕССИОНАЛЬНОГО ОБРАЗОВАНИЯ «МОСКОВСКИЙ ИНСТИТУТ ГЕШТАЛЬТА И ПСИХОДРАМЫ»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9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АНО ДПО «МИГИП»</w:t>
            </w:r>
          </w:p>
          <w:p w14:paraId="9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7703427631</w:t>
            </w:r>
          </w:p>
          <w:p w14:paraId="9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КПП 770301001</w:t>
            </w:r>
          </w:p>
          <w:p w14:paraId="9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125009, Москва, Вознесенский пер. д.20, стр.3  </w:t>
            </w:r>
          </w:p>
          <w:p w14:paraId="95000000">
            <w:pPr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Р./с </w:t>
            </w:r>
            <w:r>
              <w:rPr>
                <w:rFonts w:ascii="Times New Roman" w:hAnsi="Times New Roman"/>
                <w:sz w:val="24"/>
              </w:rPr>
              <w:t>40703810438000016905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96000000">
            <w:pPr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ПАО «Сбербанк России» г. Москва</w:t>
            </w:r>
          </w:p>
          <w:p w14:paraId="97000000">
            <w:pPr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044525225</w:t>
            </w:r>
          </w:p>
          <w:p w14:paraId="98000000">
            <w:pPr>
              <w:spacing w:line="240" w:lineRule="exact"/>
              <w:ind w:right="-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к/с 30101810400000000225</w:t>
            </w:r>
          </w:p>
          <w:p w14:paraId="99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9A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</w:p>
    <w:p w14:paraId="9B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</w:p>
    <w:p w14:paraId="9C000000">
      <w:pPr>
        <w:pStyle w:val="Style_1"/>
        <w:ind w:firstLine="567" w:left="0"/>
        <w:jc w:val="both"/>
      </w:pPr>
      <w:r>
        <w:t>Ректор ___________________(</w:t>
      </w:r>
      <w:r>
        <w:t>Лубяницкая</w:t>
      </w:r>
      <w:r>
        <w:t xml:space="preserve"> Н.Г.)</w:t>
      </w:r>
      <w:r>
        <w:t xml:space="preserve"> </w:t>
      </w:r>
    </w:p>
    <w:p w14:paraId="9D000000">
      <w:pPr>
        <w:pStyle w:val="Style_1"/>
        <w:ind w:firstLine="567" w:left="0"/>
        <w:jc w:val="both"/>
      </w:pPr>
      <w:r>
        <w:t xml:space="preserve">                                              </w:t>
      </w:r>
      <w:r>
        <w:t>М.П.</w:t>
      </w:r>
    </w:p>
    <w:p w14:paraId="9E000000">
      <w:pPr>
        <w:pStyle w:val="Style_1"/>
        <w:ind w:firstLine="567" w:left="0"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5.%1. "/>
      <w:lvlJc w:val="left"/>
      <w:pPr>
        <w:ind w:hanging="283" w:left="283"/>
      </w:pPr>
      <w:rPr>
        <w:rFonts w:ascii="Times New Roman" w:hAnsi="Times New Roman"/>
        <w:b w:val="0"/>
        <w:i w:val="0"/>
        <w:sz w:val="24"/>
      </w:rPr>
    </w:lvl>
  </w:abstractNum>
  <w:abstractNum w:abstractNumId="1">
    <w:lvl w:ilvl="0">
      <w:start w:val="3"/>
      <w:numFmt w:val="decimal"/>
      <w:lvlText w:val="5.%1. "/>
      <w:lvlJc w:val="left"/>
      <w:pPr>
        <w:ind w:hanging="283" w:left="851"/>
      </w:pPr>
      <w:rPr>
        <w:rFonts w:ascii="Times New Roman" w:hAnsi="Times New Roman"/>
        <w:b w:val="0"/>
        <w:i w:val="0"/>
        <w:sz w:val="24"/>
      </w:rPr>
    </w:lvl>
  </w:abstractNum>
  <w:abstractNum w:abstractNumId="2">
    <w:lvl w:ilvl="0">
      <w:start w:val="5"/>
      <w:numFmt w:val="decimal"/>
      <w:lvlText w:val="%1."/>
      <w:lvlJc w:val="left"/>
      <w:pPr>
        <w:ind w:hanging="360" w:left="360"/>
      </w:pPr>
    </w:lvl>
    <w:lvl w:ilvl="1">
      <w:start w:val="5"/>
      <w:numFmt w:val="decimal"/>
      <w:lvlText w:val="%1.%2."/>
      <w:lvlJc w:val="left"/>
      <w:pPr>
        <w:ind w:hanging="360" w:left="786"/>
      </w:pPr>
    </w:lvl>
    <w:lvl w:ilvl="2">
      <w:start w:val="1"/>
      <w:numFmt w:val="decimal"/>
      <w:lvlText w:val="%1.%2.%3."/>
      <w:lvlJc w:val="left"/>
      <w:pPr>
        <w:ind w:hanging="720" w:left="1572"/>
      </w:pPr>
    </w:lvl>
    <w:lvl w:ilvl="3">
      <w:start w:val="1"/>
      <w:numFmt w:val="decimal"/>
      <w:lvlText w:val="%1.%2.%3.%4."/>
      <w:lvlJc w:val="left"/>
      <w:pPr>
        <w:ind w:hanging="720" w:left="1998"/>
      </w:pPr>
    </w:lvl>
    <w:lvl w:ilvl="4">
      <w:start w:val="1"/>
      <w:numFmt w:val="decimal"/>
      <w:lvlText w:val="%1.%2.%3.%4.%5."/>
      <w:lvlJc w:val="left"/>
      <w:pPr>
        <w:ind w:hanging="1080" w:left="2784"/>
      </w:pPr>
    </w:lvl>
    <w:lvl w:ilvl="5">
      <w:start w:val="1"/>
      <w:numFmt w:val="decimal"/>
      <w:lvlText w:val="%1.%2.%3.%4.%5.%6."/>
      <w:lvlJc w:val="left"/>
      <w:pPr>
        <w:ind w:hanging="1080" w:left="3210"/>
      </w:pPr>
    </w:lvl>
    <w:lvl w:ilvl="6">
      <w:start w:val="1"/>
      <w:numFmt w:val="decimal"/>
      <w:lvlText w:val="%1.%2.%3.%4.%5.%6.%7."/>
      <w:lvlJc w:val="left"/>
      <w:pPr>
        <w:ind w:hanging="1440" w:left="3996"/>
      </w:pPr>
    </w:lvl>
    <w:lvl w:ilvl="7">
      <w:start w:val="1"/>
      <w:numFmt w:val="decimal"/>
      <w:lvlText w:val="%1.%2.%3.%4.%5.%6.%7.%8."/>
      <w:lvlJc w:val="left"/>
      <w:pPr>
        <w:ind w:hanging="1440" w:left="4422"/>
      </w:pPr>
    </w:lvl>
    <w:lvl w:ilvl="8">
      <w:start w:val="1"/>
      <w:numFmt w:val="decimal"/>
      <w:lvlText w:val="%1.%2.%3.%4.%5.%6.%7.%8.%9."/>
      <w:lvlJc w:val="left"/>
      <w:pPr>
        <w:ind w:hanging="1800" w:left="5208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9_ch" w:type="character">
    <w:name w:val="Normal"/>
    <w:link w:val="Style_9"/>
    <w:rPr>
      <w:rFonts w:ascii="Calibri" w:hAnsi="Calibri"/>
      <w:sz w:val="22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6" w:type="paragraph">
    <w:name w:val="Normal (Web)"/>
    <w:basedOn w:val="Style_9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9_ch"/>
    <w:link w:val="Style_6"/>
    <w:rPr>
      <w:rFonts w:ascii="Times New Roman" w:hAnsi="Times New Roman"/>
      <w:sz w:val="24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3" w:type="paragraph">
    <w:name w:val="ConsPlusNonformat"/>
    <w:link w:val="Style_3_ch"/>
    <w:pPr>
      <w:widowControl w:val="0"/>
      <w:spacing w:after="0" w:line="240" w:lineRule="auto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16" w:type="paragraph">
    <w:name w:val="Balloon Text"/>
    <w:basedOn w:val="Style_9"/>
    <w:link w:val="Style_16_ch"/>
    <w:pPr>
      <w:spacing w:after="0" w:line="240" w:lineRule="auto"/>
      <w:ind/>
    </w:pPr>
    <w:rPr>
      <w:rFonts w:ascii="Segoe UI" w:hAnsi="Segoe UI"/>
      <w:sz w:val="18"/>
    </w:rPr>
  </w:style>
  <w:style w:styleId="Style_16_ch" w:type="character">
    <w:name w:val="Balloon Text"/>
    <w:basedOn w:val="Style_9_ch"/>
    <w:link w:val="Style_16"/>
    <w:rPr>
      <w:rFonts w:ascii="Segoe UI" w:hAnsi="Segoe UI"/>
      <w:sz w:val="18"/>
    </w:rPr>
  </w:style>
  <w:style w:styleId="Style_17" w:type="paragraph">
    <w:name w:val="toc 3"/>
    <w:next w:val="Style_9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8" w:type="paragraph">
    <w:name w:val="List Paragraph"/>
    <w:basedOn w:val="Style_9"/>
    <w:link w:val="Style_8_ch"/>
    <w:pPr>
      <w:ind w:firstLine="0" w:left="720"/>
      <w:contextualSpacing w:val="1"/>
    </w:pPr>
  </w:style>
  <w:style w:styleId="Style_8_ch" w:type="character">
    <w:name w:val="List Paragraph"/>
    <w:basedOn w:val="Style_9_ch"/>
    <w:link w:val="Style_8"/>
  </w:style>
  <w:style w:styleId="Style_18" w:type="paragraph">
    <w:name w:val="heading 5"/>
    <w:next w:val="Style_9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9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5" w:type="paragraph">
    <w:name w:val="Hyperlink"/>
    <w:basedOn w:val="Style_20"/>
    <w:link w:val="Style_5_ch"/>
    <w:rPr>
      <w:color w:val="0000FF"/>
      <w:u w:val="single"/>
    </w:rPr>
  </w:style>
  <w:style w:styleId="Style_5_ch" w:type="character">
    <w:name w:val="Hyperlink"/>
    <w:basedOn w:val="Style_20_ch"/>
    <w:link w:val="Style_5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9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8"/>
    </w:rPr>
  </w:style>
  <w:style w:styleId="Style_23_ch" w:type="character">
    <w:name w:val="Header and Footer"/>
    <w:link w:val="Style_23"/>
    <w:rPr>
      <w:rFonts w:ascii="XO Thames" w:hAnsi="XO Thames"/>
      <w:sz w:val="28"/>
    </w:rPr>
  </w:style>
  <w:style w:styleId="Style_1" w:type="paragraph">
    <w:name w:val="Без интервала1"/>
    <w:link w:val="Style_1_ch"/>
    <w:pPr>
      <w:spacing w:after="0" w:line="240" w:lineRule="auto"/>
      <w:ind/>
    </w:pPr>
    <w:rPr>
      <w:rFonts w:ascii="Calibri" w:hAnsi="Calibri"/>
      <w:sz w:val="22"/>
    </w:rPr>
  </w:style>
  <w:style w:styleId="Style_1_ch" w:type="character">
    <w:name w:val="Без интервала1"/>
    <w:link w:val="Style_1"/>
    <w:rPr>
      <w:rFonts w:ascii="Calibri" w:hAnsi="Calibri"/>
      <w:sz w:val="22"/>
    </w:rPr>
  </w:style>
  <w:style w:styleId="Style_24" w:type="paragraph">
    <w:name w:val="toc 9"/>
    <w:next w:val="Style_9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  <w:sz w:val="22"/>
    </w:rPr>
  </w:style>
  <w:style w:styleId="Style_2_ch" w:type="character">
    <w:name w:val="ConsPlusNormal"/>
    <w:link w:val="Style_2"/>
    <w:rPr>
      <w:rFonts w:ascii="Calibri" w:hAnsi="Calibri"/>
      <w:sz w:val="22"/>
    </w:rPr>
  </w:style>
  <w:style w:styleId="Style_25" w:type="paragraph">
    <w:name w:val="toc 8"/>
    <w:next w:val="Style_9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Strong"/>
    <w:basedOn w:val="Style_20"/>
    <w:link w:val="Style_26_ch"/>
    <w:rPr>
      <w:b w:val="1"/>
    </w:rPr>
  </w:style>
  <w:style w:styleId="Style_26_ch" w:type="character">
    <w:name w:val="Strong"/>
    <w:basedOn w:val="Style_20_ch"/>
    <w:link w:val="Style_26"/>
    <w:rPr>
      <w:b w:val="1"/>
    </w:rPr>
  </w:style>
  <w:style w:styleId="Style_27" w:type="paragraph">
    <w:name w:val="toc 5"/>
    <w:next w:val="Style_9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9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9" w:type="paragraph">
    <w:name w:val="Title"/>
    <w:next w:val="Style_9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9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4" w:type="paragraph">
    <w:name w:val="heading 2"/>
    <w:basedOn w:val="Style_9"/>
    <w:next w:val="Style_9"/>
    <w:link w:val="Style_4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4_ch" w:type="character">
    <w:name w:val="heading 2"/>
    <w:basedOn w:val="Style_9_ch"/>
    <w:link w:val="Style_4"/>
    <w:rPr>
      <w:rFonts w:asciiTheme="majorAscii" w:hAnsiTheme="majorHAnsi"/>
      <w:b w:val="1"/>
      <w:color w:themeColor="accent1" w:val="5B9BD5"/>
      <w:sz w:val="26"/>
    </w:rPr>
  </w:style>
  <w:style w:styleId="Style_31" w:type="table">
    <w:name w:val="Table Grid"/>
    <w:basedOn w:val="Style_7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2024-03-06T18:46:52Z</dcterms:modified>
</cp:coreProperties>
</file>